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b/>
          <w:bCs/>
        </w:rPr>
        <w:t xml:space="preserve">1) </w:t>
      </w:r>
      <w:r>
        <w:rPr>
          <w:b/>
          <w:bCs/>
        </w:rPr>
        <w:t xml:space="preserve">Paypal: </w:t>
      </w:r>
      <w:hyperlink r:id="rId2">
        <w:r>
          <w:rPr>
            <w:rStyle w:val="InternetLink"/>
          </w:rPr>
          <w:t>https://www.paypal.com/in/home</w:t>
        </w:r>
      </w:hyperlink>
    </w:p>
    <w:p>
      <w:pPr>
        <w:pStyle w:val="Normal"/>
        <w:rPr/>
      </w:pPr>
      <w:r>
        <w:rPr/>
      </w:r>
    </w:p>
    <w:p>
      <w:pPr>
        <w:pStyle w:val="Normal"/>
        <w:rPr/>
      </w:pPr>
      <w:r>
        <w:rPr/>
        <w:t xml:space="preserve">pricing @ </w:t>
      </w:r>
      <w:hyperlink r:id="rId3">
        <w:r>
          <w:rPr>
            <w:rStyle w:val="InternetLink"/>
          </w:rPr>
          <w:t>https://www.paypal.com/in/webapps/mpp/merchant-fees</w:t>
        </w:r>
      </w:hyperlink>
    </w:p>
    <w:p>
      <w:pPr>
        <w:pStyle w:val="Normal"/>
        <w:rPr/>
      </w:pPr>
      <w:r>
        <w:rPr/>
      </w:r>
    </w:p>
    <w:p>
      <w:pPr>
        <w:pStyle w:val="Normal"/>
        <w:rPr/>
      </w:pPr>
      <w:r>
        <w:rPr/>
        <w:t>Fixed Cost for INR received: Rs. 3.00</w:t>
      </w:r>
    </w:p>
    <w:p>
      <w:pPr>
        <w:pStyle w:val="Normal"/>
        <w:rPr/>
      </w:pPr>
      <w:r>
        <w:rPr/>
        <w:t>For International Payments: 4.40% + Fixed Cost</w:t>
      </w:r>
    </w:p>
    <w:p>
      <w:pPr>
        <w:pStyle w:val="Normal"/>
        <w:rPr/>
      </w:pPr>
      <w:r>
        <w:rPr/>
      </w:r>
    </w:p>
    <w:p>
      <w:pPr>
        <w:pStyle w:val="Normal"/>
        <w:rPr/>
      </w:pPr>
      <w:r>
        <w:rPr>
          <w:b/>
          <w:bCs/>
          <w:i/>
          <w:iCs/>
        </w:rPr>
        <w:t xml:space="preserve">Confusion: </w:t>
      </w:r>
      <w:r>
        <w:rPr/>
        <w:t>For India users, we only support international payments.</w:t>
      </w:r>
    </w:p>
    <w:p>
      <w:pPr>
        <w:pStyle w:val="Normal"/>
        <w:rPr/>
      </w:pPr>
      <w:r>
        <w:rPr/>
      </w:r>
    </w:p>
    <w:p>
      <w:pPr>
        <w:pStyle w:val="Normal"/>
        <w:rPr>
          <w:b/>
          <w:b/>
          <w:bCs/>
          <w:i/>
          <w:i/>
          <w:iCs/>
        </w:rPr>
      </w:pPr>
      <w:r>
        <w:rPr>
          <w:b/>
          <w:bCs/>
          <w:i/>
          <w:iCs/>
        </w:rPr>
        <w:t xml:space="preserve">Alternative Payment Methods: </w:t>
      </w:r>
      <w:r>
        <w:fldChar w:fldCharType="begin"/>
      </w:r>
      <w:r>
        <w:rPr>
          <w:rStyle w:val="InternetLink"/>
          <w:i w:val="false"/>
          <w:b w:val="false"/>
          <w:iCs w:val="false"/>
          <w:bCs w:val="false"/>
        </w:rPr>
        <w:instrText> HYPERLINK "https://www.paypal.com/in/legalhub/paypal/apm-tnc" \l "annex1"</w:instrText>
      </w:r>
      <w:r>
        <w:rPr>
          <w:rStyle w:val="InternetLink"/>
          <w:i w:val="false"/>
          <w:b w:val="false"/>
          <w:iCs w:val="false"/>
          <w:bCs w:val="false"/>
        </w:rPr>
        <w:fldChar w:fldCharType="separate"/>
      </w:r>
      <w:r>
        <w:rPr>
          <w:rStyle w:val="InternetLink"/>
          <w:b w:val="false"/>
          <w:bCs w:val="false"/>
          <w:i w:val="false"/>
          <w:iCs w:val="false"/>
        </w:rPr>
        <w:t>https://www.paypal.com/in/legalhub/paypal/apm-tnc#annex1</w:t>
      </w:r>
      <w:r>
        <w:rPr>
          <w:rStyle w:val="InternetLink"/>
          <w:i w:val="false"/>
          <w:b w:val="false"/>
          <w:iCs w:val="false"/>
          <w:bCs w:val="false"/>
        </w:rPr>
        <w:fldChar w:fldCharType="end"/>
      </w:r>
    </w:p>
    <w:p>
      <w:pPr>
        <w:pStyle w:val="Normal"/>
        <w:rPr>
          <w:b w:val="false"/>
          <w:b w:val="false"/>
          <w:bCs w:val="false"/>
          <w:i w:val="false"/>
          <w:i w:val="false"/>
          <w:iCs w:val="false"/>
        </w:rPr>
      </w:pPr>
      <w:r>
        <w:rPr>
          <w:b/>
          <w:bCs/>
          <w:i/>
          <w:iCs/>
        </w:rPr>
      </w:r>
    </w:p>
    <w:p>
      <w:pPr>
        <w:pStyle w:val="Normal"/>
        <w:rPr>
          <w:b/>
          <w:b/>
          <w:bCs/>
          <w:i/>
          <w:i/>
          <w:iCs/>
        </w:rPr>
      </w:pPr>
      <w:r>
        <w:rPr>
          <w:b/>
          <w:bCs/>
          <w:i/>
          <w:iCs/>
        </w:rPr>
        <w:t xml:space="preserve">Micropayments: </w:t>
      </w:r>
      <w:r>
        <w:rPr>
          <w:b w:val="false"/>
          <w:bCs w:val="false"/>
          <w:i w:val="false"/>
          <w:iCs w:val="false"/>
        </w:rPr>
        <w:t>Subject to application and pre-approval by PayPal, you may upgrade an existing account to receive the Micropayment rate. Micropayment rates can be ideal as an alternative to standard commercial transaction rates for businesses that process small payments. If you upgrade to the Micropayment rate, this rate will apply to all commercial transaction payments received into your PayPal account. Please contact us to apply for the Micropayment rate.</w:t>
      </w:r>
    </w:p>
    <w:p>
      <w:pPr>
        <w:pStyle w:val="Normal"/>
        <w:rPr>
          <w:b w:val="false"/>
          <w:b w:val="false"/>
          <w:bCs w:val="false"/>
          <w:i w:val="false"/>
          <w:i w:val="false"/>
          <w:iCs w:val="false"/>
        </w:rPr>
      </w:pPr>
      <w:r>
        <w:rPr>
          <w:b/>
          <w:bCs/>
          <w:i/>
          <w:iCs/>
        </w:rPr>
      </w:r>
    </w:p>
    <w:p>
      <w:pPr>
        <w:pStyle w:val="Normal"/>
        <w:rPr>
          <w:b/>
          <w:b/>
          <w:bCs/>
          <w:i/>
          <w:i/>
          <w:iCs/>
        </w:rPr>
      </w:pPr>
      <w:r>
        <w:rPr>
          <w:b/>
          <w:bCs/>
          <w:i/>
          <w:iCs/>
        </w:rPr>
        <w:t>Receiving micropayments:</w:t>
      </w:r>
    </w:p>
    <w:p>
      <w:pPr>
        <w:pStyle w:val="Normal"/>
        <w:rPr>
          <w:rFonts w:ascii="PayPalSansSmall-Medium" w:hAnsi="PayPalSansSmall-Medium"/>
          <w:b w:val="false"/>
          <w:b w:val="false"/>
          <w:bCs w:val="false"/>
          <w:i w:val="false"/>
          <w:i w:val="false"/>
          <w:iCs w:val="false"/>
          <w:sz w:val="36"/>
        </w:rPr>
      </w:pPr>
      <w:r>
        <w:rPr>
          <w:b/>
          <w:bCs/>
          <w:i/>
          <w:iCs/>
        </w:rPr>
      </w:r>
    </w:p>
    <w:tbl>
      <w:tblPr>
        <w:tblW w:w="7971" w:type="dxa"/>
        <w:jc w:val="start"/>
        <w:tblInd w:w="0" w:type="dxa"/>
        <w:tblBorders>
          <w:bottom w:val="single" w:sz="4" w:space="0" w:color="CBD2D6"/>
          <w:insideH w:val="single" w:sz="4" w:space="0" w:color="CBD2D6"/>
        </w:tblBorders>
        <w:tblCellMar>
          <w:top w:w="0" w:type="dxa"/>
          <w:start w:w="0" w:type="dxa"/>
          <w:bottom w:w="28" w:type="dxa"/>
          <w:end w:w="0" w:type="dxa"/>
        </w:tblCellMar>
      </w:tblPr>
      <w:tblGrid>
        <w:gridCol w:w="3587"/>
        <w:gridCol w:w="4384"/>
      </w:tblGrid>
      <w:tr>
        <w:trPr>
          <w:tblHeader w:val="true"/>
        </w:trPr>
        <w:tc>
          <w:tcPr>
            <w:tcW w:w="3587" w:type="dxa"/>
            <w:tcBorders>
              <w:bottom w:val="single" w:sz="4" w:space="0" w:color="CBD2D6"/>
              <w:insideH w:val="single" w:sz="4" w:space="0" w:color="CBD2D6"/>
            </w:tcBorders>
            <w:shd w:fill="auto" w:val="clear"/>
            <w:vAlign w:val="center"/>
          </w:tcPr>
          <w:p>
            <w:pPr>
              <w:pStyle w:val="TableHeading"/>
              <w:spacing w:lineRule="auto" w:line="360"/>
              <w:jc w:val="start"/>
              <w:rPr>
                <w:rFonts w:ascii="Liberation Serif" w:hAnsi="Liberation Serif"/>
                <w:b/>
                <w:color w:val="2C2E2F"/>
                <w:sz w:val="24"/>
                <w:szCs w:val="24"/>
              </w:rPr>
            </w:pPr>
            <w:r>
              <w:rPr>
                <w:rFonts w:ascii="Liberation Serif" w:hAnsi="Liberation Serif"/>
                <w:b/>
                <w:color w:val="2C2E2F"/>
                <w:sz w:val="24"/>
                <w:szCs w:val="24"/>
              </w:rPr>
              <w:t>Transaction</w:t>
            </w:r>
          </w:p>
        </w:tc>
        <w:tc>
          <w:tcPr>
            <w:tcW w:w="4384" w:type="dxa"/>
            <w:tcBorders>
              <w:bottom w:val="single" w:sz="4" w:space="0" w:color="CBD2D6"/>
              <w:insideH w:val="single" w:sz="4" w:space="0" w:color="CBD2D6"/>
            </w:tcBorders>
            <w:shd w:fill="auto" w:val="clear"/>
            <w:vAlign w:val="center"/>
          </w:tcPr>
          <w:p>
            <w:pPr>
              <w:pStyle w:val="TableHeading"/>
              <w:spacing w:lineRule="auto" w:line="360"/>
              <w:jc w:val="start"/>
              <w:rPr>
                <w:rFonts w:ascii="Liberation Serif" w:hAnsi="Liberation Serif"/>
                <w:b/>
                <w:color w:val="2C2E2F"/>
                <w:sz w:val="24"/>
                <w:szCs w:val="24"/>
              </w:rPr>
            </w:pPr>
            <w:r>
              <w:rPr>
                <w:rFonts w:ascii="Liberation Serif" w:hAnsi="Liberation Serif"/>
                <w:b/>
                <w:color w:val="2C2E2F"/>
                <w:sz w:val="24"/>
                <w:szCs w:val="24"/>
              </w:rPr>
              <w:t>Rate</w:t>
            </w:r>
          </w:p>
        </w:tc>
      </w:tr>
      <w:tr>
        <w:trPr/>
        <w:tc>
          <w:tcPr>
            <w:tcW w:w="3587" w:type="dxa"/>
            <w:tcBorders/>
            <w:shd w:fill="auto" w:val="clear"/>
            <w:tcMar>
              <w:top w:w="28" w:type="dxa"/>
              <w:start w:w="28" w:type="dxa"/>
              <w:end w:w="28" w:type="dxa"/>
            </w:tcMar>
            <w:vAlign w:val="center"/>
          </w:tcPr>
          <w:p>
            <w:pPr>
              <w:pStyle w:val="TableHeading"/>
              <w:spacing w:lineRule="auto" w:line="360"/>
              <w:jc w:val="start"/>
              <w:rPr>
                <w:rFonts w:ascii="Liberation Serif" w:hAnsi="Liberation Serif"/>
                <w:b w:val="false"/>
                <w:color w:val="2C2E2F"/>
                <w:sz w:val="24"/>
                <w:szCs w:val="24"/>
              </w:rPr>
            </w:pPr>
            <w:r>
              <w:rPr>
                <w:rFonts w:ascii="Liberation Serif" w:hAnsi="Liberation Serif"/>
                <w:b w:val="false"/>
                <w:color w:val="2C2E2F"/>
                <w:sz w:val="24"/>
                <w:szCs w:val="24"/>
              </w:rPr>
              <w:t>International micropayments</w:t>
            </w:r>
            <w:bookmarkStart w:id="0" w:name="fixedfee"/>
            <w:bookmarkEnd w:id="0"/>
          </w:p>
        </w:tc>
        <w:tc>
          <w:tcPr>
            <w:tcW w:w="4384" w:type="dxa"/>
            <w:tcBorders/>
            <w:shd w:fill="auto" w:val="clear"/>
            <w:tcMar>
              <w:top w:w="28" w:type="dxa"/>
              <w:start w:w="28" w:type="dxa"/>
              <w:end w:w="28" w:type="dxa"/>
            </w:tcMar>
            <w:vAlign w:val="center"/>
          </w:tcPr>
          <w:p>
            <w:pPr>
              <w:pStyle w:val="TableContents"/>
              <w:spacing w:lineRule="auto" w:line="360"/>
              <w:rPr/>
            </w:pPr>
            <w:r>
              <w:rPr>
                <w:rFonts w:ascii="Liberation Serif" w:hAnsi="Liberation Serif"/>
                <w:b w:val="false"/>
                <w:color w:val="2C2E2F"/>
                <w:sz w:val="24"/>
                <w:szCs w:val="24"/>
              </w:rPr>
              <w:t>6.00% + micropayments </w:t>
            </w:r>
            <w:r>
              <w:fldChar w:fldCharType="begin"/>
            </w:r>
            <w:r>
              <w:rPr>
                <w:rStyle w:val="InternetLink"/>
                <w:dstrike w:val="false"/>
                <w:strike w:val="false"/>
                <w:sz w:val="24"/>
                <w:u w:val="none"/>
                <w:b/>
                <w:effect w:val="none"/>
                <w:szCs w:val="24"/>
                <w:rFonts w:ascii="Liberation Serif" w:hAnsi="Liberation Serif"/>
              </w:rPr>
              <w:instrText> HYPERLINK "https://www.paypal.com/in/webapps/mpp/merchant-fees" \l "fixedfee"</w:instrText>
            </w:r>
            <w:r>
              <w:rPr>
                <w:rStyle w:val="InternetLink"/>
                <w:dstrike w:val="false"/>
                <w:strike w:val="false"/>
                <w:sz w:val="24"/>
                <w:u w:val="none"/>
                <w:b/>
                <w:effect w:val="none"/>
                <w:szCs w:val="24"/>
                <w:rFonts w:ascii="Liberation Serif" w:hAnsi="Liberation Serif"/>
              </w:rPr>
              <w:fldChar w:fldCharType="separate"/>
            </w:r>
            <w:r>
              <w:rPr>
                <w:rStyle w:val="InternetLink"/>
                <w:rFonts w:ascii="Liberation Serif" w:hAnsi="Liberation Serif"/>
                <w:b/>
                <w:strike w:val="false"/>
                <w:dstrike w:val="false"/>
                <w:color w:val="0070BA"/>
                <w:sz w:val="24"/>
                <w:szCs w:val="24"/>
                <w:u w:val="none"/>
                <w:effect w:val="none"/>
              </w:rPr>
              <w:t>fixed fee</w:t>
            </w:r>
            <w:r>
              <w:rPr>
                <w:rStyle w:val="InternetLink"/>
                <w:dstrike w:val="false"/>
                <w:strike w:val="false"/>
                <w:sz w:val="24"/>
                <w:u w:val="none"/>
                <w:b/>
                <w:effect w:val="none"/>
                <w:szCs w:val="24"/>
                <w:rFonts w:ascii="Liberation Serif" w:hAnsi="Liberation Serif"/>
              </w:rPr>
              <w:fldChar w:fldCharType="end"/>
            </w:r>
          </w:p>
        </w:tc>
      </w:tr>
    </w:tbl>
    <w:p>
      <w:pPr>
        <w:pStyle w:val="Normal"/>
        <w:rPr>
          <w:b w:val="false"/>
          <w:b w:val="false"/>
          <w:bCs w:val="false"/>
          <w:i w:val="false"/>
          <w:i w:val="false"/>
          <w:iCs w:val="false"/>
        </w:rPr>
      </w:pPr>
      <w:r>
        <w:rPr>
          <w:b/>
          <w:bCs/>
          <w:i/>
          <w:iCs/>
        </w:rPr>
      </w:r>
    </w:p>
    <w:p>
      <w:pPr>
        <w:pStyle w:val="Normal"/>
        <w:rPr>
          <w:b/>
          <w:b/>
          <w:bCs/>
          <w:i/>
          <w:i/>
          <w:iCs/>
        </w:rPr>
      </w:pPr>
      <w:r>
        <w:rPr>
          <w:b w:val="false"/>
          <w:bCs w:val="false"/>
          <w:i w:val="false"/>
          <w:iCs w:val="false"/>
        </w:rPr>
        <w:t xml:space="preserve">Receiving micropayments </w:t>
      </w:r>
      <w:r>
        <w:rPr>
          <w:b w:val="false"/>
          <w:bCs w:val="false"/>
          <w:i w:val="false"/>
          <w:iCs w:val="false"/>
        </w:rPr>
        <w:t xml:space="preserve">fixed fee based on the currency received: </w:t>
      </w:r>
      <w:r>
        <w:fldChar w:fldCharType="begin"/>
      </w:r>
      <w:r>
        <w:rPr>
          <w:rStyle w:val="InternetLink"/>
          <w:i w:val="false"/>
          <w:b w:val="false"/>
          <w:iCs w:val="false"/>
          <w:bCs w:val="false"/>
        </w:rPr>
        <w:instrText> HYPERLINK "https://www.paypal.com/in/webapps/mpp/merchant-fees" \l "fixedfee"</w:instrText>
      </w:r>
      <w:r>
        <w:rPr>
          <w:rStyle w:val="InternetLink"/>
          <w:i w:val="false"/>
          <w:b w:val="false"/>
          <w:iCs w:val="false"/>
          <w:bCs w:val="false"/>
        </w:rPr>
        <w:fldChar w:fldCharType="separate"/>
      </w:r>
      <w:r>
        <w:rPr>
          <w:rStyle w:val="InternetLink"/>
          <w:b w:val="false"/>
          <w:bCs w:val="false"/>
          <w:i w:val="false"/>
          <w:iCs w:val="false"/>
        </w:rPr>
        <w:t>https://www.paypal.com/in/webapps/mpp/merchant-fees#fixedfee</w:t>
      </w:r>
      <w:r>
        <w:rPr>
          <w:rStyle w:val="InternetLink"/>
          <w:i w:val="false"/>
          <w:b w:val="false"/>
          <w:iCs w:val="false"/>
          <w:bCs w:val="false"/>
        </w:rPr>
        <w:fldChar w:fldCharType="end"/>
      </w:r>
    </w:p>
    <w:p>
      <w:pPr>
        <w:pStyle w:val="Normal"/>
        <w:rPr>
          <w:b w:val="false"/>
          <w:b w:val="false"/>
          <w:bCs w:val="false"/>
          <w:i w:val="false"/>
          <w:i w:val="false"/>
          <w:iCs w:val="false"/>
        </w:rPr>
      </w:pPr>
      <w:r>
        <w:rPr>
          <w:b/>
          <w:bCs/>
          <w:i/>
          <w:iCs/>
        </w:rPr>
      </w:r>
    </w:p>
    <w:p>
      <w:pPr>
        <w:pStyle w:val="Normal"/>
        <w:rPr>
          <w:b w:val="false"/>
          <w:b w:val="false"/>
          <w:bCs w:val="false"/>
          <w:i w:val="false"/>
          <w:i w:val="false"/>
          <w:iCs w:val="false"/>
        </w:rPr>
      </w:pPr>
      <w:r>
        <w:rPr>
          <w:b/>
          <w:bCs/>
          <w:i/>
          <w:iCs/>
        </w:rPr>
      </w:r>
    </w:p>
    <w:p>
      <w:pPr>
        <w:pStyle w:val="Normal"/>
        <w:rPr>
          <w:b/>
          <w:b/>
          <w:bCs/>
          <w:i/>
          <w:i/>
          <w:iCs/>
        </w:rPr>
      </w:pPr>
      <w:r>
        <w:rPr>
          <w:b/>
          <w:bCs/>
          <w:i w:val="false"/>
          <w:iCs w:val="false"/>
        </w:rPr>
        <w:t xml:space="preserve">List Of all possible Fees: Fixed Cost, International Payment Cost, Alternative Payments Method </w:t>
      </w:r>
      <w:r>
        <w:rPr>
          <w:b/>
          <w:bCs/>
          <w:i w:val="false"/>
          <w:iCs w:val="false"/>
        </w:rPr>
        <w:t xml:space="preserve">Cost, </w:t>
      </w:r>
    </w:p>
    <w:p>
      <w:pPr>
        <w:pStyle w:val="Normal"/>
        <w:rPr>
          <w:i w:val="false"/>
          <w:i w:val="false"/>
          <w:iCs w:val="false"/>
        </w:rPr>
      </w:pPr>
      <w:r>
        <w:rPr>
          <w:b/>
          <w:bCs/>
          <w:i/>
          <w:iCs/>
        </w:rPr>
      </w:r>
    </w:p>
    <w:p>
      <w:pPr>
        <w:pStyle w:val="Normal"/>
        <w:rPr>
          <w:b/>
          <w:b/>
          <w:bCs/>
          <w:i/>
          <w:i/>
          <w:iCs/>
        </w:rPr>
      </w:pPr>
      <w:r>
        <w:rPr>
          <w:b/>
          <w:bCs/>
          <w:i w:val="false"/>
          <w:iCs w:val="false"/>
        </w:rPr>
        <w:t>D</w:t>
      </w:r>
      <w:r>
        <w:rPr>
          <w:b/>
          <w:bCs/>
          <w:i w:val="false"/>
          <w:iCs w:val="false"/>
        </w:rPr>
        <w:t>ifferent Micropayments cost</w:t>
      </w:r>
    </w:p>
    <w:p>
      <w:pPr>
        <w:pStyle w:val="Normal"/>
        <w:rPr>
          <w:i w:val="false"/>
          <w:i w:val="false"/>
          <w:iCs w:val="false"/>
        </w:rPr>
      </w:pPr>
      <w:r>
        <w:rPr>
          <w:b/>
          <w:bCs/>
          <w:i/>
          <w:iCs/>
        </w:rPr>
      </w:r>
    </w:p>
    <w:p>
      <w:pPr>
        <w:pStyle w:val="Normal"/>
        <w:rPr>
          <w:b w:val="false"/>
          <w:b w:val="false"/>
          <w:bCs w:val="false"/>
          <w:i/>
          <w:i/>
          <w:iCs/>
        </w:rPr>
      </w:pPr>
      <w:r>
        <w:rPr>
          <w:b w:val="false"/>
          <w:bCs w:val="false"/>
          <w:i w:val="false"/>
          <w:iCs w:val="false"/>
        </w:rPr>
        <w:t>Withdrawal Fees: 0</w:t>
      </w:r>
    </w:p>
    <w:p>
      <w:pPr>
        <w:pStyle w:val="Normal"/>
        <w:rPr>
          <w:i w:val="false"/>
          <w:i w:val="false"/>
          <w:iCs w:val="false"/>
        </w:rPr>
      </w:pPr>
      <w:r>
        <w:rPr>
          <w:b w:val="false"/>
          <w:bCs w:val="false"/>
          <w:i/>
          <w:iCs/>
        </w:rPr>
      </w:r>
    </w:p>
    <w:p>
      <w:pPr>
        <w:pStyle w:val="Normal"/>
        <w:rPr>
          <w:b w:val="false"/>
          <w:b w:val="false"/>
          <w:bCs w:val="false"/>
          <w:i w:val="false"/>
          <w:i w:val="false"/>
          <w:iCs w:val="false"/>
        </w:rPr>
      </w:pPr>
      <w:r>
        <w:rPr>
          <w:b w:val="false"/>
          <w:bCs w:val="false"/>
          <w:i w:val="false"/>
          <w:iCs w:val="false"/>
        </w:rPr>
        <w:t>Bank Return on Withdrawal/Transfer out of PayPal: Rs. 250(Cost on maintenance of failed/incorrect payments)</w:t>
      </w:r>
    </w:p>
    <w:p>
      <w:pPr>
        <w:pStyle w:val="Normal"/>
        <w:rPr>
          <w:b w:val="false"/>
          <w:b w:val="false"/>
          <w:bCs w:val="false"/>
          <w:i w:val="false"/>
          <w:i w:val="false"/>
          <w:iCs w:val="false"/>
        </w:rPr>
      </w:pPr>
      <w:r>
        <w:rPr>
          <w:b w:val="false"/>
          <w:bCs w:val="false"/>
          <w:i w:val="false"/>
          <w:iCs w:val="false"/>
        </w:rPr>
      </w:r>
    </w:p>
    <w:p>
      <w:pPr>
        <w:pStyle w:val="Normal"/>
        <w:rPr>
          <w:b w:val="false"/>
          <w:b w:val="false"/>
          <w:bCs w:val="false"/>
          <w:i w:val="false"/>
          <w:i w:val="false"/>
          <w:iCs w:val="false"/>
        </w:rPr>
      </w:pPr>
      <w:r>
        <w:rPr>
          <w:b/>
          <w:bCs/>
          <w:i w:val="false"/>
          <w:iCs w:val="false"/>
        </w:rPr>
        <w:t>Drawbacks:</w:t>
      </w:r>
      <w:r>
        <w:rPr>
          <w:b w:val="false"/>
          <w:bCs w:val="false"/>
          <w:i w:val="false"/>
          <w:iCs w:val="false"/>
        </w:rPr>
        <w:t xml:space="preserve"> Doesn’t support payments within India</w:t>
      </w:r>
    </w:p>
    <w:p>
      <w:pPr>
        <w:pStyle w:val="Normal"/>
        <w:rPr>
          <w:b w:val="false"/>
          <w:b w:val="false"/>
          <w:bCs w:val="false"/>
          <w:i w:val="false"/>
          <w:i w:val="false"/>
          <w:iCs w:val="false"/>
        </w:rPr>
      </w:pPr>
      <w:r>
        <w:rPr>
          <w:b w:val="false"/>
          <w:bCs w:val="false"/>
          <w:i w:val="false"/>
          <w:iCs w:val="false"/>
        </w:rPr>
      </w:r>
    </w:p>
    <w:p>
      <w:pPr>
        <w:pStyle w:val="Normal"/>
        <w:rPr>
          <w:b w:val="false"/>
          <w:b w:val="false"/>
          <w:bCs w:val="false"/>
          <w:i w:val="false"/>
          <w:i w:val="false"/>
          <w:iCs w:val="false"/>
        </w:rPr>
      </w:pPr>
      <w:r>
        <w:rPr>
          <w:b w:val="false"/>
          <w:bCs w:val="false"/>
          <w:i w:val="false"/>
          <w:iCs w:val="false"/>
        </w:rPr>
        <w:t xml:space="preserve">Small article related to subscription based payments: </w:t>
      </w:r>
      <w:hyperlink r:id="rId4">
        <w:r>
          <w:rPr>
            <w:rStyle w:val="InternetLink"/>
            <w:b w:val="false"/>
            <w:bCs w:val="false"/>
            <w:i w:val="false"/>
            <w:iCs w:val="false"/>
          </w:rPr>
          <w:t>https://www.paypal.com/in/brc/article/offer-subscription-payments</w:t>
        </w:r>
      </w:hyperlink>
    </w:p>
    <w:p>
      <w:pPr>
        <w:pStyle w:val="Normal"/>
        <w:rPr>
          <w:b w:val="false"/>
          <w:b w:val="false"/>
          <w:bCs w:val="false"/>
          <w:i w:val="false"/>
          <w:i w:val="false"/>
          <w:iCs w:val="false"/>
        </w:rPr>
      </w:pPr>
      <w:r>
        <w:rPr>
          <w:b w:val="false"/>
          <w:bCs w:val="false"/>
          <w:i w:val="false"/>
          <w:iCs w:val="false"/>
        </w:rPr>
      </w:r>
    </w:p>
    <w:p>
      <w:pPr>
        <w:pStyle w:val="Normal"/>
        <w:rPr>
          <w:b/>
          <w:b/>
          <w:bCs/>
          <w:i/>
          <w:i/>
          <w:iCs/>
        </w:rPr>
      </w:pPr>
      <w:r>
        <w:rPr>
          <w:b/>
          <w:bCs/>
          <w:i w:val="false"/>
          <w:iCs w:val="false"/>
        </w:rPr>
        <w:t>&lt;-----------------------------------------------------------------------------------------------→</w:t>
      </w:r>
    </w:p>
    <w:p>
      <w:pPr>
        <w:pStyle w:val="Normal"/>
        <w:rPr>
          <w:i w:val="false"/>
          <w:i w:val="false"/>
          <w:iCs w:val="false"/>
        </w:rPr>
      </w:pPr>
      <w:r>
        <w:rPr>
          <w:b/>
          <w:bCs/>
          <w:i/>
          <w:iCs/>
        </w:rPr>
      </w:r>
    </w:p>
    <w:p>
      <w:pPr>
        <w:pStyle w:val="Normal"/>
        <w:rPr>
          <w:b/>
          <w:b/>
          <w:bCs/>
          <w:i/>
          <w:i/>
          <w:iCs/>
        </w:rPr>
      </w:pPr>
      <w:r>
        <w:rPr>
          <w:b/>
          <w:bCs/>
          <w:i w:val="false"/>
          <w:iCs w:val="false"/>
        </w:rPr>
        <w:t xml:space="preserve">2) Razorpay: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PayPalSansSmall-Medium">
    <w:charset w:val="01" w:characterSet="utf-8"/>
    <w:family w:val="auto"/>
    <w:pitch w:val="default"/>
  </w:font>
</w:fonts>
</file>

<file path=word/settings.xml><?xml version="1.0" encoding="utf-8"?>
<w:settings xmlns:w="http://schemas.openxmlformats.org/wordprocessingml/2006/main">
  <w:zoom w:percent="110"/>
  <w:defaultTabStop w:val="28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Noto Sans CJK SC" w:cs="Lohit Devanagari"/>
      <w:color w:val="auto"/>
      <w:kern w:val="2"/>
      <w:sz w:val="24"/>
      <w:szCs w:val="24"/>
      <w:lang w:val="en-US" w:eastAsia="zh-CN" w:bidi="hi-IN"/>
    </w:rPr>
  </w:style>
  <w:style w:type="paragraph" w:styleId="Heading2">
    <w:name w:val="Heading 2"/>
    <w:basedOn w:val="Heading"/>
    <w:next w:val="TextBody"/>
    <w:qFormat/>
    <w:pPr>
      <w:spacing w:before="200" w:after="120"/>
      <w:outlineLvl w:val="1"/>
    </w:pPr>
    <w:rPr>
      <w:rFonts w:ascii="Liberation Serif" w:hAnsi="Liberation Serif" w:eastAsia="Noto Sans CJK SC" w:cs="Lohit Devanagari"/>
      <w:b/>
      <w:bCs/>
      <w:sz w:val="36"/>
      <w:szCs w:val="36"/>
    </w:rPr>
  </w:style>
  <w:style w:type="paragraph" w:styleId="Heading4">
    <w:name w:val="Heading 4"/>
    <w:basedOn w:val="Heading"/>
    <w:next w:val="TextBody"/>
    <w:qFormat/>
    <w:pPr>
      <w:spacing w:before="120" w:after="120"/>
      <w:outlineLvl w:val="3"/>
    </w:pPr>
    <w:rPr>
      <w:rFonts w:ascii="Liberation Serif" w:hAnsi="Liberation Serif" w:eastAsia="Noto Sans CJK SC" w:cs="Lohit Devanagari"/>
      <w:b/>
      <w:bCs/>
      <w:sz w:val="24"/>
      <w:szCs w:val="24"/>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aypal.com/in/home" TargetMode="External"/><Relationship Id="rId3" Type="http://schemas.openxmlformats.org/officeDocument/2006/relationships/hyperlink" Target="https://www.paypal.com/in/webapps/mpp/merchant-fees" TargetMode="External"/><Relationship Id="rId4" Type="http://schemas.openxmlformats.org/officeDocument/2006/relationships/hyperlink" Target="https://www.paypal.com/in/brc/article/offer-subscription-payments"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182</TotalTime>
  <Application>LibreOffice/6.0.7.3$Linux_X86_64 LibreOffice_project/00m0$Build-3</Application>
  <Pages>1</Pages>
  <Words>174</Words>
  <Characters>1397</Characters>
  <CharactersWithSpaces>1551</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2025-01-16T13:49:29Z</dcterms:created>
  <dc:creator/>
  <dc:description/>
  <dc:language>en-US</dc:language>
  <cp:lastModifiedBy/>
  <dcterms:modified xsi:type="dcterms:W3CDTF">2025-01-16T17:53:55Z</dcterms:modified>
  <cp:revision>1</cp:revision>
  <dc:subject/>
  <dc:title/>
</cp:coreProperties>
</file>